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446</w:t>
      </w:r>
    </w:p>
    <w:p>
      <w:r>
        <w:t>Bundesgericht (BGE), 2006-03-30, FR</w:t>
      </w:r>
    </w:p>
    <w:p>
      <w:r>
        <w:rPr>
          <w:b/>
        </w:rPr>
        <w:t xml:space="preserve">Quelle: </w:t>
      </w:r>
      <w:r>
        <w:t>https://mcp.opencaselaw.ch/entscheid/bge_133 III 446</w:t>
      </w:r>
    </w:p>
    <w:p>
      <w:r>
        <w:t>FR: ATF 133 III 446</w:t>
      </w:r>
    </w:p>
    <w:p>
      <w:r>
        <w:t>IT: DTF 133 III 446</w:t>
      </w:r>
    </w:p>
    <w:p>
      <w:pPr>
        <w:pStyle w:val="Heading2"/>
      </w:pPr>
      <w:r>
        <w:t>Regeste</w:t>
      </w:r>
    </w:p>
    <w:p>
      <w:r>
        <w:t>Regeste Art. 95 lit. a BGG; Prüfungsbefugnis des Bundesgerichts hinsichtlich ausländischen Rechts. In vermögensrechtlichen Zivilrechtsstreitigkeiten kann die Rüge, der angefochtene Entscheid wende ausländisches Recht willkürlich an, mit der Beschwerde in Zivilsachen erhoben werden, wenn der Streitwert von Fr. 30'000.- erreicht ist. Unterhalb dieses Betrages muss die willkürliche Anwendung ausländischen Rechts im Rahmen einer subsidiären Verfassungsbeschwerde geltend gemacht werden (E. 3.1).</w:t>
      </w:r>
    </w:p>
    <w:p>
      <w:pPr>
        <w:pStyle w:val="Heading2"/>
      </w:pPr>
      <w:r>
        <w:t>Erwägungen</w:t>
      </w:r>
    </w:p>
    <w:p>
      <w:r>
        <w:rPr>
          <w:b/>
        </w:rPr>
        <w:t>E. 3.1</w:t>
      </w:r>
    </w:p>
    <w:p>
      <w:r>
        <w:t>Le recours en matière civile peut être formé pour violation du droit fédéral (art. 95 let. a de la loi du 17 juin 2005 sur le Tribunal fédéral [LTF; RS 173.110]), y compris les droits constitutionnels (cf. Message du 28 février 2001 relatif à la révision totale de l'organisation judiciaire fédérale, FF 2001 p. 4000 ss, 4132).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Dans les contestations qui portent sur un droit de nature pécuniaire, il n'est en revanche pas possible d'y soulever le grief relatif à l'application erronée du droit étranger ( art. 96 let. b LTF a contrario); dans ce cas, la décision cantonale ne peut alors être attaquée que pour violation de l' art. 9 Cst. , soit pour BGE 133 III 446 S. 448 application arbitraire du droit étranger ( art. 95 let. a LTF ) et pour autant que la valeur litigieuse de 30'000 fr. soit atteinte ( art. 74 al. 1 let. b LTF ). Si cette valeur litigieuse n'est pas atteinte, le grief d'application arbitraire du droit étranger doit être invoqué dans un recours constitutionnel subsidiaire (cf. DENIS TAPPY, Le recours en matière civile, in La nouvelle loi sur le Tribunal fédéral, 2007, p. 51 ss, 97). L'avis de SEILER/VON WERDT/GÜNGERICH (Bundesgerichtsgesetz, 2007, n. 14 ad art. 96 LTF ) et de RAINER SCHWEIZER (Die subsidiäre Verfassungsbeschwerde nach dem neuen Bundesgerichtsgesetz, in Reorganisation der Bundesrechtspflege, p. 225 s.) qui soutiennent que le grief de l'application arbitraire du droit étranger ne peut être soulevé dans le cadre du recours en matière civile, mais dans un recours constitutionnel subsidiaire quelle que soit la valeur litigieuse, ne peut être partagé. Ces auteurs perdent de vue que le choix entre les deux voies de droit dépend de la nature de l'affaire et, si elle est pécuniaire, de la valeur litigieuse. Au vu de ce qui précède, le grief de l'application arbitraire du droit français soulevé par la recourante est recevable dans le cadre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